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137</w:t>
      </w:r>
    </w:p>
    <w:p>
      <w:r>
        <w:t>Bundesgericht (BGE), 1976-10-07, FR</w:t>
      </w:r>
    </w:p>
    <w:p>
      <w:r>
        <w:rPr>
          <w:b/>
        </w:rPr>
        <w:t xml:space="preserve">Quelle: </w:t>
      </w:r>
      <w:r>
        <w:t>https://mcp.opencaselaw.ch/entscheid/bge_102 V 137</w:t>
      </w:r>
    </w:p>
    <w:p>
      <w:r>
        <w:t>FR: ATF 102 V 137</w:t>
      </w:r>
    </w:p>
    <w:p>
      <w:r>
        <w:t>IT: DTF 102 V 137</w:t>
      </w:r>
    </w:p>
    <w:p>
      <w:pPr>
        <w:pStyle w:val="Heading2"/>
      </w:pPr>
      <w:r>
        <w:t>Regeste</w:t>
      </w:r>
    </w:p>
    <w:p>
      <w:r>
        <w:t>Regeste Krankheits- und Unfallverhütungsnormen (Art. 65 Abs. 2 KUVG und Art. 10 Abs. 2 VO II). - Die von der SUVA erlassenen Richtlinien, die mangels Anordnung durch den Bundesrat nicht den Charakter allgemeiner Vorschriften besitzen, stellen für die Arbeitgeber eine Orientierung über die Sicherheitsmassnahmen dar, die in den Weisungen gefordert werden, welche die Anstalt in Einzelfällen erlässt. - Ein geringes Unfallrisiko allein rechtfertigt es noch nicht, dass man auf die vorbeugenden Massnahmen verzichtet.</w:t>
      </w:r>
    </w:p>
    <w:p>
      <w:pPr>
        <w:pStyle w:val="Heading2"/>
      </w:pPr>
      <w:r>
        <w:t>Erwägungen</w:t>
      </w:r>
    </w:p>
    <w:p>
      <w:r>
        <w:rPr>
          <w:b/>
        </w:rPr>
        <w:t>E. 1</w:t>
      </w:r>
    </w:p>
    <w:p>
      <w:r>
        <w:t>L'art. 65 al. 1 et 2 LAMA s'exprime comme il suit: "1 Dans toute entreprise mentionnée aux art. 60 et suivants, l'employeur ou son représentant est tenu de prendre, pour prévenir les accidents ou les maladies professionnelles, toutes les mesures dont l'expérience a démontré la nécessité, que l'état de la technique permet d'appliquer et qui sont adaptées aux conditions d'exploitation de l'entreprise.</w:t>
      </w:r>
    </w:p>
    <w:p>
      <w:r>
        <w:rPr>
          <w:b/>
        </w:rPr>
        <w:t>E. 2</w:t>
      </w:r>
    </w:p>
    <w:p>
      <w:r>
        <w:t>La presse pneumatique en cause ne répond pas aux exigences habituelles de la Caisse nationale, énoncées dans les instructions citées plus haut, sur deux points: a) le mouvement dangereux de la machine n'est pas interrompu immédiatement si l'un ou les deux organes d'actionnement sont abandonnés avant la fin du mouvement; b) le dispositif de commande n'est pas conçu de façon que le blocage abusif d'éléments de celui-ci soit impossible. Or, contrairement à ce qu'allèguent les recourants, on ne saurait qualifier de théorique le risque couru de ce chef par les ouvriers appelés à se servir de la machine: s'il est vrai que, dans la mesure où elle est utilisée correctement et où les interrupteurs électriques actionnés par les boutons-poussoirs demeurent intacts, la presse pneumatique n'est pas dangereuse, les leçons de l'expérience montrent que les défauts constatés par l'inspecteur de l'administration peuvent précisément être à l'origine d'accidents et qu'on ne peut purement et simplement exclure un comportement dangereux, voire déraisonnable, de l'opérateur (p.ex. le blocage d'un des boutons de commande pour quelque cause que ce soit). Au demeurant, une installation conforme aux exigences permet de déceler sans retard une défectuosité de l'interrupteur de l'un des boutons-poussoirs, événement qui ne peut être exclu et qui comporterait aussi un danger d'accident. Les mesures exigées sont dès lors justifiées. La circonstance que le risque d'accident est modéré ne saurait exempter d'appliquer les règles élaborées par l'établissement d'assurance, contrairement à ce qui paraît ressortir du considérant 5 de l'arrêt RO 100 V 197 (voir p. 201). Dès lors, le fait que rien ne se soit passé depuis des années dans les ateliers de gainerie des recourants n'est pas déterminant. Du reste, nulle exploitation, aussi bien surveillée soit-elle, n'étant à l'abri d'une défaillance de l'homme ou du matériel, les employeurs et la Caisse nationale seraient critiquables si, à la faveur de la coïncidence fâcheuse d'événements BGE 102 V 137 S. 140 imprévus, il se produisait dans l'entreprise Vaudaux G. &amp; A. un accident que des mesures techniques connues auraient pu rendre impossible. C'est à tort que cette dernière compare le faible risque que présente sa presse pneumatique avec celui, plus grand, inhérent à l'utilisation d'autres machines, même pourvues de dispositifs de sécurité, comme les scies circulaires. Il va sans dire que le souci d'éliminer les dangers ne peut aller jusqu'à faire interdire l'usage d'engins indispensables mais qu'on ne peut rendre totalement inoffensifs. Cela ne dispense pas d'augmenter la sécurité de chaque genre de machine considéré isolément. Certes, lorsqu'elle prend une décision dans un cas d'espèce en matière de prévention des accidents, la Caisse nationale doit-elle rester dans le cadre fixé par l'art. 65 al. 1 LAMA (voir RO 100 V 197; 101 V 241 , plus spécialement consid. 5, p. 249). Cette condition est remplie en l'occurrence. Car le coût des modifications ordonnées, qui semble avoir été de quelque cinq cents francs lors de la première intervention de l'administration, à fin 1973, était loin d'être disproportionné avec les avantages qu'elles présentaient. Si par la suite ce prix a augmenté, notamment parce que le constructeur de la presse aurait récemment fermé ses ateliers, la dépense reste néanmoins acceptable au regard des conséquences morales et financières d'un accident. De toute façon, contrairement à l'avis des recourants, l'établissement d'assurance devait bien s'en prendre aux utilisateurs de la machine et non à son fabricant ou à son vendeur.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